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ДЕЯТЕЛЬНОСТЬ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комиссии Межрегионального территориального управления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Федеральной службы по надзору в сфере транспорта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по Северо-Кавказскому федеральному округу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по соблюдению требований к служебному поведению федеральных государственных гражданских служащих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и урегулированию конфликта интересов</w:t>
      </w:r>
    </w:p>
    <w:p>
      <w:pPr>
        <w:pStyle w:val="BodyText"/>
        <w:widowControl/>
        <w:spacing w:before="0" w:after="0"/>
        <w:ind w:hanging="0" w:left="0" w:right="0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</w:r>
    </w:p>
    <w:tbl>
      <w:tblPr>
        <w:tblW w:w="10488" w:type="dxa"/>
        <w:jc w:val="left"/>
        <w:tblInd w:w="105" w:type="dxa"/>
        <w:tblLayout w:type="fixed"/>
        <w:tblCellMar>
          <w:top w:w="0" w:type="dxa"/>
          <w:left w:w="105" w:type="dxa"/>
          <w:bottom w:w="28" w:type="dxa"/>
          <w:right w:w="105" w:type="dxa"/>
        </w:tblCellMar>
      </w:tblPr>
      <w:tblGrid>
        <w:gridCol w:w="330"/>
        <w:gridCol w:w="1"/>
        <w:gridCol w:w="1934"/>
        <w:gridCol w:w="8223"/>
      </w:tblGrid>
      <w:tr>
        <w:trPr/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1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Дата проведения заседания комиссии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Рассматриваемые вопросы, принятые решения</w:t>
            </w:r>
          </w:p>
        </w:tc>
      </w:tr>
      <w:tr>
        <w:trPr/>
        <w:tc>
          <w:tcPr>
            <w:tcW w:w="1048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b/>
                <w:sz w:val="28"/>
              </w:rPr>
            </w:pPr>
            <w:r>
              <w:rPr>
                <w:rFonts w:ascii="Times New Roman;serif" w:hAnsi="Times New Roman;serif"/>
                <w:b/>
                <w:sz w:val="28"/>
              </w:rPr>
              <w:t>2025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21.04.2025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принято решения дать согласие на замещение должности в соответствующей организации.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28.04.2025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рассмотрено 1 уведомление, поступившее в соответствии с подпунктом «е»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государственного гражданского служащего о невозможности по объективным причинам представить сведения о своих доходах, об имуществе  и обязательствах имущественного характера, а также доходах, об имуществе и обязательствах имущественного характера своих супруги и несовершеннолетних детей.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установлено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Государственный гражданский служащий обязан обеспечить соблюдение ограничений, запретов и требований, а также исполнение обязанности по представлению сведений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своей супруги и несовершеннолетних детей за отчетный период не позднее,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 и исполнению обязанностей.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3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11.08.2025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принято решение рекомендовать непосредственному руководителю государственного гражданского служащего не поручать ему участвовать в осуществлении федерального государственного контроля (надзора) в соответствующей области государственного надзора в отношении соответствующей организации, включая проведение соответствующих контрольных (надзорных) мероприятий.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4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13.10.2025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Рассмотрен доклад 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 xml:space="preserve">по результатам проверки </w:t>
            </w:r>
            <w:r>
              <w:rPr>
                <w:rFonts w:eastAsia="Times New Roman" w:cs="Times New Roman" w:ascii="Times New Roman;serif" w:hAnsi="Times New Roman;serif"/>
                <w:b w:val="false"/>
                <w:bCs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достоверности и полноты сведений о доходах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, об имуществе и обязательствах имущественного характера и 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другими федеральными законами.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Комиссией у</w:t>
            </w: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становлено: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1. Сведения о доходах, об имуществе и обязательствах имущественного характера являются недостоверными и  неполными. Рекомендовано применение к государственному служащему дисциплинарного взыскания.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2.Государственный служащий не соблюдал требования к служебному поведению и требования об урегулировании конфликта интересов, выразившиеся в неуведомлении представителя нанимателя о возможности возникновения личной заинтересованности при исполнении должностных обязанностей, которая может привести к конфликту интересов. Рекомендовано указать государственному служащему на недопустимость нарушения требований к служебному поведению и требований об урегулировании конфликта интересов, строго руководствоваться в своей деятельности нормативно-правовыми документами. Непосредственному руководителю государственного служащего рекомендовано осуществлять контроль за его деятельностью при осуществлении отдельных функций в отношении подконтрольной организации.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5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22.12.2025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2 уведомления, поступивших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Комиссией принято решение рекомендовать непосредственным руководителям государственных гражданских служащих ограничить их в проведении контрольно-надзорных мероприятий в отношении соответствующих организаций.</w:t>
            </w:r>
          </w:p>
        </w:tc>
      </w:tr>
    </w:tbl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</w:r>
    </w:p>
    <w:sectPr>
      <w:type w:val="nextPage"/>
      <w:pgSz w:w="11906" w:h="16838"/>
      <w:pgMar w:left="851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  <w:font w:name="Arial">
    <w:charset w:val="01"/>
    <w:family w:val="swiss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pPr>
      <w:ind w:left="16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764758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764758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rong">
    <w:name w:val="Strong"/>
    <w:qFormat/>
    <w:rPr>
      <w:b/>
      <w:bCs/>
    </w:rPr>
  </w:style>
  <w:style w:type="character" w:styleId="Exact">
    <w:name w:val="Основной текст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4"/>
      <w:sz w:val="26"/>
      <w:szCs w:val="26"/>
      <w:u w:val="non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hanging="140" w:left="30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6"/>
      <w:szCs w:val="26"/>
      <w:lang w:val="ru-RU" w:eastAsia="ru-RU" w:bidi="hi-I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Application>LibreOffice/24.8.7.2$Linux_X86_64 LibreOffice_project/480$Build-2</Application>
  <AppVersion>15.0000</AppVersion>
  <Pages>3</Pages>
  <Words>593</Words>
  <Characters>4615</Characters>
  <CharactersWithSpaces>5178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2022-09-13T05:41:00Z</dcterms:created>
  <dc:creator>Пользователь</dc:creator>
  <dc:description/>
  <dc:language>ru-RU</dc:language>
  <cp:lastModifiedBy/>
  <cp:lastPrinted>2025-08-12T12:04:05Z</cp:lastPrinted>
  <dcterms:modified xsi:type="dcterms:W3CDTF">2025-12-22T14:55:34Z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